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9AC6" w14:textId="5DDCB16B" w:rsidR="00006CBA" w:rsidRPr="00D932DA" w:rsidRDefault="003665F3">
      <w:pPr>
        <w:rPr>
          <w:b/>
          <w:bCs/>
        </w:rPr>
      </w:pPr>
      <w:r w:rsidRPr="00D932DA">
        <w:rPr>
          <w:b/>
          <w:bCs/>
        </w:rPr>
        <w:t xml:space="preserve">Tartu Maakohtu arvamus maksejõuetuse teenistuse 2023. aasta tegevusaruande </w:t>
      </w:r>
      <w:r w:rsidR="007E1DFF" w:rsidRPr="00D932DA">
        <w:rPr>
          <w:b/>
          <w:bCs/>
        </w:rPr>
        <w:t>kohta</w:t>
      </w:r>
    </w:p>
    <w:p w14:paraId="064A08A2" w14:textId="1F4BA91A" w:rsidR="003665F3" w:rsidRDefault="003665F3" w:rsidP="003665F3">
      <w:pPr>
        <w:pStyle w:val="xmsonormal"/>
        <w:jc w:val="both"/>
      </w:pPr>
      <w:r>
        <w:t>Maksejõuetuse teenistus (MJT) esitas 8. jaanuaril 2024 Justiitsministeeriumile oma 2023. a</w:t>
      </w:r>
      <w:r w:rsidR="00FE3710">
        <w:t>asta</w:t>
      </w:r>
      <w:r>
        <w:t xml:space="preserve"> tegevusaruande. </w:t>
      </w:r>
      <w:r w:rsidR="00FE3710">
        <w:t xml:space="preserve">Aruandes </w:t>
      </w:r>
      <w:r>
        <w:t xml:space="preserve">on tõstatatud mitmeid küsimusi nii maksejõuetuse valdkonnas kui ka laiemalt. Justiitsministeerium on palunud </w:t>
      </w:r>
      <w:r w:rsidR="001026B4">
        <w:t xml:space="preserve">Tartu Maakohtul </w:t>
      </w:r>
      <w:r>
        <w:t xml:space="preserve">maksejõuetuse teenistuse 2023. aasta tegevusaruande </w:t>
      </w:r>
      <w:r w:rsidRPr="003665F3">
        <w:t>osas</w:t>
      </w:r>
      <w:r>
        <w:t xml:space="preserve"> ava</w:t>
      </w:r>
      <w:r w:rsidR="001026B4">
        <w:t>l</w:t>
      </w:r>
      <w:r>
        <w:t xml:space="preserve">dada arvamust hiljemalt 25. märtsiks 2024 aadressile info@just.ee. </w:t>
      </w:r>
    </w:p>
    <w:p w14:paraId="6B684348" w14:textId="315AA13E" w:rsidR="00954476" w:rsidRDefault="00337A1B" w:rsidP="001026B4">
      <w:pPr>
        <w:spacing w:before="120"/>
        <w:jc w:val="both"/>
      </w:pPr>
      <w:r>
        <w:t>Tartu Maakohtu</w:t>
      </w:r>
      <w:r w:rsidR="008747BF">
        <w:t xml:space="preserve">le </w:t>
      </w:r>
      <w:r w:rsidR="00EA1E22">
        <w:t>on</w:t>
      </w:r>
      <w:r w:rsidR="00D06066">
        <w:t xml:space="preserve"> </w:t>
      </w:r>
      <w:r w:rsidR="0071180E">
        <w:t>pankrotiseaduse (PankrS) ja t</w:t>
      </w:r>
      <w:r w:rsidR="0071180E" w:rsidRPr="0071180E">
        <w:t>siviilkohtumenetluse seadustik</w:t>
      </w:r>
      <w:r w:rsidR="0071180E">
        <w:t>uga (TsMS)</w:t>
      </w:r>
      <w:r w:rsidR="0071180E" w:rsidRPr="0071180E">
        <w:t xml:space="preserve"> </w:t>
      </w:r>
      <w:r w:rsidR="00D06066">
        <w:t xml:space="preserve">sätestatud </w:t>
      </w:r>
      <w:r>
        <w:t>äriregistri- ja maksejõuetusasjades</w:t>
      </w:r>
      <w:r w:rsidR="00D06066">
        <w:t xml:space="preserve"> </w:t>
      </w:r>
      <w:r w:rsidR="00D06066" w:rsidRPr="00FE3710">
        <w:t>erandlik</w:t>
      </w:r>
      <w:r w:rsidR="00D06066">
        <w:t xml:space="preserve"> kohtualluvus.</w:t>
      </w:r>
      <w:r>
        <w:t xml:space="preserve"> </w:t>
      </w:r>
      <w:r w:rsidR="001026B4">
        <w:t xml:space="preserve">Tartu Maakohtus on </w:t>
      </w:r>
      <w:r w:rsidR="0071180E">
        <w:t xml:space="preserve">lisaks süüteoosakonnale ja tsiviilosakonnale </w:t>
      </w:r>
      <w:r w:rsidR="001026B4">
        <w:t xml:space="preserve">eraldi maksejõuetuse- ja äriregistriasjade osakond, mille kohtunikest </w:t>
      </w:r>
      <w:r w:rsidR="00FE3710">
        <w:t xml:space="preserve">on </w:t>
      </w:r>
      <w:r w:rsidR="001026B4">
        <w:t xml:space="preserve">kuus kohtunikku </w:t>
      </w:r>
      <w:r w:rsidR="00954476">
        <w:t xml:space="preserve">suuremal või vähemal määral </w:t>
      </w:r>
      <w:r w:rsidR="001026B4">
        <w:t>spetsialiseerunud maksejõuetuse asjade</w:t>
      </w:r>
      <w:r w:rsidR="00FE3710">
        <w:t xml:space="preserve"> lahendamisele</w:t>
      </w:r>
      <w:r w:rsidR="001026B4">
        <w:t xml:space="preserve">. </w:t>
      </w:r>
      <w:r w:rsidR="00954476">
        <w:t xml:space="preserve">MJT ettepanekud on saadetud neile kohtunikele arvamuse avaldamiseks. Kohtunikud on teinud mõned üldised tähelepanekud ja on avaldanud arvamust ka iga ettepaneku (10 tk) kohta eraldi. </w:t>
      </w:r>
    </w:p>
    <w:p w14:paraId="08D60AF1" w14:textId="421CDD4B" w:rsidR="00954476" w:rsidRDefault="00954476" w:rsidP="001026B4">
      <w:pPr>
        <w:spacing w:before="120"/>
        <w:jc w:val="both"/>
      </w:pPr>
      <w:r>
        <w:t>Üldised tähelepanekud on järgmised</w:t>
      </w:r>
      <w:r w:rsidR="00457712">
        <w:t>:</w:t>
      </w:r>
    </w:p>
    <w:p w14:paraId="27F5A8DB" w14:textId="48F6426E" w:rsidR="00F14FF0" w:rsidRDefault="00F14FF0" w:rsidP="00F14FF0">
      <w:pPr>
        <w:pStyle w:val="Loendilik"/>
        <w:numPr>
          <w:ilvl w:val="0"/>
          <w:numId w:val="2"/>
        </w:numPr>
        <w:spacing w:before="120"/>
        <w:ind w:left="360"/>
        <w:jc w:val="both"/>
      </w:pPr>
      <w:r>
        <w:t xml:space="preserve">On avaldatud heameelt, et keegi on ettepanekud (vajalikud tegevused ja otsustused) süstematiseerinud ja sõnastanud, kuid mitmete ettepanekute puhul on tegemist sellistega, mille realiseerimine on tõenäoliselt takistatud või võimatu, kas </w:t>
      </w:r>
      <w:r w:rsidR="00FE3710">
        <w:t xml:space="preserve">vastuolu tõttu </w:t>
      </w:r>
      <w:r>
        <w:t>põhiseadusega</w:t>
      </w:r>
      <w:r w:rsidR="00FE3710">
        <w:t xml:space="preserve">, </w:t>
      </w:r>
      <w:r>
        <w:t xml:space="preserve">muude õigusnormidega või </w:t>
      </w:r>
      <w:r w:rsidR="00FE3710">
        <w:t>üldisemalt</w:t>
      </w:r>
      <w:r w:rsidR="00763C78">
        <w:t xml:space="preserve"> </w:t>
      </w:r>
      <w:r>
        <w:t>sobimatud Eesti õigusruumi</w:t>
      </w:r>
      <w:r w:rsidR="00763C78">
        <w:t>.</w:t>
      </w:r>
      <w:r>
        <w:t xml:space="preserve"> </w:t>
      </w:r>
    </w:p>
    <w:p w14:paraId="674BEFE4" w14:textId="7EEB47B8" w:rsidR="003665F3" w:rsidRDefault="00954476" w:rsidP="00954476">
      <w:pPr>
        <w:pStyle w:val="Loendilik"/>
        <w:numPr>
          <w:ilvl w:val="0"/>
          <w:numId w:val="2"/>
        </w:numPr>
        <w:spacing w:before="120"/>
        <w:ind w:left="360"/>
        <w:jc w:val="both"/>
      </w:pPr>
      <w:r>
        <w:t>On vajalik tähelepanu pöörata sellele, et MJT roll ei ole asuda kohtu asemele pankrotiavalduse menetluses nagu see tegevusaruandest järeldub, vaid tegel</w:t>
      </w:r>
      <w:r w:rsidR="00763C78">
        <w:t>e</w:t>
      </w:r>
      <w:r>
        <w:t>da varatute menetlustega ning võlgniku ja võlgniku lähikondsete võimaliku seadusvastase käitumise uurimise</w:t>
      </w:r>
      <w:r w:rsidR="00763C78">
        <w:t>ga</w:t>
      </w:r>
      <w:r>
        <w:t xml:space="preserve"> maksejõuetuse tekitamisel või maksejõuetuse suurendamisel (PankrS § 192</w:t>
      </w:r>
      <w:r w:rsidRPr="00954476">
        <w:rPr>
          <w:vertAlign w:val="superscript"/>
        </w:rPr>
        <w:t>1</w:t>
      </w:r>
      <w:r>
        <w:t xml:space="preserve"> lg 1). </w:t>
      </w:r>
      <w:r w:rsidR="00763C78">
        <w:t>MJT</w:t>
      </w:r>
      <w:r>
        <w:t xml:space="preserve"> ei saa hakata asendama kohut. Lisaks on teenistuse eesmärgiks haldurite üle teostatava haldusjärelevalve tugevdamine (PankrS § 192</w:t>
      </w:r>
      <w:r w:rsidRPr="00954476">
        <w:rPr>
          <w:vertAlign w:val="superscript"/>
        </w:rPr>
        <w:t>1</w:t>
      </w:r>
      <w:r>
        <w:t xml:space="preserve"> lg 2 ja § 70 lg 1) ning ühtse praktika kujundamine pankroti-, saneerimis-, võlgade ümberkujundamise ja füüsilise isiku kohustustest vabastamise menetluses (PankrS § 192</w:t>
      </w:r>
      <w:r w:rsidRPr="00954476">
        <w:rPr>
          <w:vertAlign w:val="superscript"/>
        </w:rPr>
        <w:t>1</w:t>
      </w:r>
      <w:r>
        <w:t xml:space="preserve"> lg 3). </w:t>
      </w:r>
    </w:p>
    <w:p w14:paraId="53270DF5" w14:textId="3FA75AC7" w:rsidR="00F14FF0" w:rsidRDefault="00F14FF0" w:rsidP="00954476">
      <w:pPr>
        <w:pStyle w:val="Loendilik"/>
        <w:numPr>
          <w:ilvl w:val="0"/>
          <w:numId w:val="2"/>
        </w:numPr>
        <w:spacing w:before="120"/>
        <w:ind w:left="360"/>
        <w:jc w:val="both"/>
      </w:pPr>
      <w:r>
        <w:t xml:space="preserve">MJT roll ei saa olla kohtule juhiste andmine, nt milliseid </w:t>
      </w:r>
      <w:r w:rsidR="00A513F9">
        <w:t xml:space="preserve">andmeid ja dokumente tuleb võlgnikult juba pankrotiavalduse esitamisel välja nõuda (nt konto väljavõte, </w:t>
      </w:r>
      <w:r w:rsidR="00A513F9" w:rsidRPr="007E1DFF">
        <w:t>raamatupidami</w:t>
      </w:r>
      <w:r w:rsidR="007E1DFF">
        <w:t>sdokumendid</w:t>
      </w:r>
      <w:r w:rsidR="00A513F9" w:rsidRPr="007E1DFF">
        <w:t>,</w:t>
      </w:r>
      <w:r w:rsidR="00A513F9">
        <w:t xml:space="preserve"> lepingud jms). Kohtul puudub selleks ressurss ja </w:t>
      </w:r>
      <w:r w:rsidR="00E96663">
        <w:t xml:space="preserve">pankrotiseaduses </w:t>
      </w:r>
      <w:r w:rsidR="00A513F9">
        <w:t>on ette nähtud ajutise halduri institutsioon</w:t>
      </w:r>
      <w:r w:rsidR="007E1DFF">
        <w:t xml:space="preserve"> (oma eriala asjatundja)</w:t>
      </w:r>
      <w:r w:rsidR="00A513F9">
        <w:t>, kellel</w:t>
      </w:r>
      <w:r w:rsidR="007E1DFF">
        <w:t xml:space="preserve">e kohus teeb ülesandeks </w:t>
      </w:r>
      <w:r w:rsidR="00A513F9">
        <w:t>võlgniku kohta andmete kogumise</w:t>
      </w:r>
      <w:r w:rsidR="007E1DFF">
        <w:t>,</w:t>
      </w:r>
      <w:r w:rsidR="00A513F9">
        <w:t xml:space="preserve"> süstematiseerimise</w:t>
      </w:r>
      <w:r w:rsidR="007E1DFF">
        <w:t xml:space="preserve"> ja hinnangute andmise</w:t>
      </w:r>
      <w:r w:rsidR="00A513F9">
        <w:t xml:space="preserve">. </w:t>
      </w:r>
    </w:p>
    <w:p w14:paraId="7E2581AA" w14:textId="2B565DBA" w:rsidR="00E00ED4" w:rsidRDefault="00E00ED4" w:rsidP="00954476">
      <w:pPr>
        <w:pStyle w:val="Loendilik"/>
        <w:numPr>
          <w:ilvl w:val="0"/>
          <w:numId w:val="2"/>
        </w:numPr>
        <w:spacing w:before="120"/>
        <w:ind w:left="360"/>
        <w:jc w:val="both"/>
      </w:pPr>
      <w:r>
        <w:t>On nõustutud</w:t>
      </w:r>
      <w:r w:rsidR="005D59BA">
        <w:t xml:space="preserve"> MJT-ga</w:t>
      </w:r>
      <w:r>
        <w:t xml:space="preserve">, et Eestis on eriliselt võlgnikusõbralik õigusnormistik maksejõuetusmenetluste jaoks </w:t>
      </w:r>
      <w:r w:rsidR="001827E3">
        <w:t>ja toetatakse ideed, et seda paradigmat tule</w:t>
      </w:r>
      <w:r w:rsidR="007E1DFF">
        <w:t>ks</w:t>
      </w:r>
      <w:r w:rsidR="001827E3">
        <w:t xml:space="preserve"> muuta. See ei ole nii üksnes juriidilistest isikutest võlgnike</w:t>
      </w:r>
      <w:r w:rsidR="00E96663">
        <w:t xml:space="preserve"> puhul</w:t>
      </w:r>
      <w:r w:rsidR="001827E3">
        <w:t xml:space="preserve">, vaid ka füüsilistest isikutest võlgnikega. </w:t>
      </w:r>
      <w:r w:rsidR="00E96663">
        <w:t>V</w:t>
      </w:r>
      <w:r w:rsidR="001827E3">
        <w:t>õlgnikusõbralik õigusnormistik on põhjus</w:t>
      </w:r>
      <w:r w:rsidR="00E96663">
        <w:t>eks</w:t>
      </w:r>
      <w:r w:rsidR="001827E3">
        <w:t>, miks koh</w:t>
      </w:r>
      <w:r w:rsidR="00E96663">
        <w:t xml:space="preserve">us </w:t>
      </w:r>
      <w:r w:rsidR="001827E3">
        <w:t xml:space="preserve">on </w:t>
      </w:r>
      <w:r w:rsidR="007E1DFF">
        <w:t xml:space="preserve">raskustes </w:t>
      </w:r>
      <w:r w:rsidR="001827E3">
        <w:t xml:space="preserve">haldurite ja usaldusisikute leidmisega, kuna </w:t>
      </w:r>
      <w:r w:rsidR="00E96663">
        <w:t xml:space="preserve">taoline </w:t>
      </w:r>
      <w:r w:rsidR="001827E3">
        <w:t>üksnes võlgniku huve arvestav menetluskord on tekitanud ka haldurites</w:t>
      </w:r>
      <w:r w:rsidR="00E96663">
        <w:t xml:space="preserve"> </w:t>
      </w:r>
      <w:r w:rsidR="001827E3">
        <w:t>/</w:t>
      </w:r>
      <w:r w:rsidR="00E96663">
        <w:t xml:space="preserve"> </w:t>
      </w:r>
      <w:r w:rsidR="001827E3">
        <w:t>usaldusisikutes tunde, et nad on teenuseosutaja</w:t>
      </w:r>
      <w:r w:rsidR="00E96663">
        <w:t>teks</w:t>
      </w:r>
      <w:r w:rsidR="007E1DFF" w:rsidRPr="007E1DFF">
        <w:t xml:space="preserve"> </w:t>
      </w:r>
      <w:r w:rsidR="007E1DFF">
        <w:t>võlgnikele</w:t>
      </w:r>
      <w:r w:rsidR="001827E3">
        <w:t xml:space="preserve">, et </w:t>
      </w:r>
      <w:r w:rsidR="00E96663">
        <w:t xml:space="preserve">viimased </w:t>
      </w:r>
      <w:r w:rsidR="001827E3">
        <w:t xml:space="preserve">saaksid </w:t>
      </w:r>
      <w:r w:rsidR="00E96663">
        <w:t xml:space="preserve">takistusteta </w:t>
      </w:r>
      <w:r w:rsidR="00C13092">
        <w:t xml:space="preserve">võetud kohustustest vabaneda. Haldurid ja usaldusisikud on </w:t>
      </w:r>
      <w:r w:rsidR="00E96663">
        <w:t xml:space="preserve">ametiisikutena </w:t>
      </w:r>
      <w:r w:rsidR="00C13092">
        <w:t>ära teeninud positsiooni, milles neist lugu peetakse.</w:t>
      </w:r>
    </w:p>
    <w:p w14:paraId="7D385916" w14:textId="539AF4B7" w:rsidR="00457712" w:rsidRDefault="00457712" w:rsidP="00954476">
      <w:pPr>
        <w:pStyle w:val="Loendilik"/>
        <w:numPr>
          <w:ilvl w:val="0"/>
          <w:numId w:val="2"/>
        </w:numPr>
        <w:spacing w:before="120"/>
        <w:ind w:left="360"/>
        <w:jc w:val="both"/>
      </w:pPr>
      <w:r>
        <w:t>On avaldatud ka arvamust, et enamus ettepanekuid on toored ja tarbetud. Põhiprobleemi – menetluse kaudu rahuldatakse väga väike osa nõuetest – saaks lahendada lihtsamalt</w:t>
      </w:r>
      <w:r w:rsidR="00D932DA">
        <w:t xml:space="preserve"> </w:t>
      </w:r>
      <w:r>
        <w:t>/</w:t>
      </w:r>
      <w:r w:rsidR="00D932DA">
        <w:t xml:space="preserve"> </w:t>
      </w:r>
      <w:r>
        <w:t>kiiremini</w:t>
      </w:r>
      <w:r w:rsidR="00D932DA">
        <w:t xml:space="preserve"> </w:t>
      </w:r>
      <w:r>
        <w:t>/</w:t>
      </w:r>
      <w:r w:rsidR="00D932DA">
        <w:t xml:space="preserve"> </w:t>
      </w:r>
      <w:r>
        <w:t xml:space="preserve">odavamalt juhatuse ja nõukogu vastutuse karmistamisega, riigi erinevate registrite parema koostöö, äriühingu asutamise ja likvideerimise regulatsiooni karmistamisega jmt. </w:t>
      </w:r>
      <w:r w:rsidR="00B31357">
        <w:t>On jäänud arusamatuks tervikuna MJT tegevuse eesmärk ja vajadus, kohati näib MJT olevat subjektiivne. Kui võlausaldajad ei pea vajalikuks menetlust rahastada, siis millisel eesmärgil ja milliste põhimõtete alusel käivitatakse avalik uurimine?</w:t>
      </w:r>
    </w:p>
    <w:p w14:paraId="4ED82925" w14:textId="77777777" w:rsidR="00E707B3" w:rsidRDefault="00E707B3" w:rsidP="000706DE">
      <w:pPr>
        <w:spacing w:after="120"/>
        <w:jc w:val="both"/>
      </w:pPr>
    </w:p>
    <w:p w14:paraId="1AEC8574" w14:textId="439539D3" w:rsidR="001026B4" w:rsidRDefault="00345783" w:rsidP="000706DE">
      <w:pPr>
        <w:spacing w:after="120"/>
        <w:jc w:val="both"/>
      </w:pPr>
      <w:r>
        <w:lastRenderedPageBreak/>
        <w:t xml:space="preserve">Järgmisena esitab </w:t>
      </w:r>
      <w:r w:rsidR="001026B4">
        <w:t xml:space="preserve">Tartu Maakohus arvamuse </w:t>
      </w:r>
      <w:r>
        <w:t>MJT</w:t>
      </w:r>
      <w:r w:rsidR="001026B4">
        <w:t xml:space="preserve"> iga ettepaneku kohta eraldi.</w:t>
      </w:r>
    </w:p>
    <w:p w14:paraId="112BA287" w14:textId="52D0BDCE" w:rsidR="003665F3" w:rsidRDefault="00CB7DFC" w:rsidP="00B51980">
      <w:pPr>
        <w:jc w:val="both"/>
      </w:pPr>
      <w:r>
        <w:rPr>
          <w:b/>
          <w:bCs/>
        </w:rPr>
        <w:t xml:space="preserve">Ettepanek nr 1: PankrS </w:t>
      </w:r>
      <w:r w:rsidR="003665F3" w:rsidRPr="00CB7DFC">
        <w:rPr>
          <w:b/>
          <w:bCs/>
        </w:rPr>
        <w:t>§ 13 lg 1, lg 2 muutmine</w:t>
      </w:r>
      <w:r>
        <w:t xml:space="preserve">. </w:t>
      </w:r>
      <w:r w:rsidR="00B51980" w:rsidRPr="00B51980">
        <w:t xml:space="preserve">Juriidilisest isikust võlgniku juhatuse liikmel on kohustus esitada kohtule pankrotiavaldus, mistõttu ei saa avalduse esitamist muuta sedavõrd keeruliseks ja detailseks, et juhatuse liikmel muutub seadusest tuleneva avalduse esitamise kohustuse täitmine </w:t>
      </w:r>
      <w:r w:rsidR="002F5C11">
        <w:t xml:space="preserve">ülejõukäivalt </w:t>
      </w:r>
      <w:r w:rsidR="00B51980" w:rsidRPr="00B51980">
        <w:t>raskeks. PankrS § 31 lg 4 järgi</w:t>
      </w:r>
      <w:r w:rsidR="00E427C6">
        <w:t xml:space="preserve"> on eeldus</w:t>
      </w:r>
      <w:r w:rsidR="00B51980" w:rsidRPr="00B51980">
        <w:t xml:space="preserve">, et kui pankrotiavalduse on esitanud juriidilisest isikust võlgnik, on </w:t>
      </w:r>
      <w:r w:rsidR="00E427C6">
        <w:t xml:space="preserve">ta </w:t>
      </w:r>
      <w:r w:rsidR="00B51980" w:rsidRPr="00B51980">
        <w:t xml:space="preserve">maksejõuetu. Kui kohtul </w:t>
      </w:r>
      <w:r w:rsidR="002F5C11">
        <w:t xml:space="preserve">tekib </w:t>
      </w:r>
      <w:r w:rsidR="00B51980" w:rsidRPr="00B51980">
        <w:t xml:space="preserve">kahtlusi võlgniku maksejõuetuses, saab kohus </w:t>
      </w:r>
      <w:r w:rsidR="002F5C11">
        <w:t xml:space="preserve">võlgnikku </w:t>
      </w:r>
      <w:r w:rsidR="00B51980" w:rsidRPr="00B51980">
        <w:t>täiendavalt küsi</w:t>
      </w:r>
      <w:r w:rsidR="002F5C11">
        <w:t>tleda</w:t>
      </w:r>
      <w:r w:rsidR="00B51980" w:rsidRPr="00B51980">
        <w:t xml:space="preserve">, lisaks saab seda teha ajutine haldur. </w:t>
      </w:r>
      <w:r w:rsidR="00B51980">
        <w:t xml:space="preserve">Kohus on ka praegu küsinud </w:t>
      </w:r>
      <w:r w:rsidR="002F5C11">
        <w:t xml:space="preserve">võlgnikult </w:t>
      </w:r>
      <w:r w:rsidR="00B51980">
        <w:t xml:space="preserve">täiendavaid andmeid ja </w:t>
      </w:r>
      <w:r w:rsidR="0069462E">
        <w:t xml:space="preserve">toimetanud enne asja menetlusse võtmise otsustamist </w:t>
      </w:r>
      <w:r w:rsidR="002F5C11">
        <w:t xml:space="preserve">ärakuulamisi </w:t>
      </w:r>
      <w:r w:rsidR="00B51980">
        <w:t xml:space="preserve">võlgnike küsitlemiseks, kuid puuduste kõrvaldamata jätmine ei too tagajärjena </w:t>
      </w:r>
      <w:r w:rsidR="002F5C11">
        <w:t xml:space="preserve">kaasa avalduse </w:t>
      </w:r>
      <w:r w:rsidR="00B51980">
        <w:t>menetlusse</w:t>
      </w:r>
      <w:r w:rsidR="002F5C11">
        <w:t xml:space="preserve"> võtmata jätmist</w:t>
      </w:r>
      <w:r w:rsidR="00B51980">
        <w:t xml:space="preserve">. On suhteliselt perspektiivitu lihtsalt karmistada avalduse lisade loetelu, kui nende puudumine ei anna </w:t>
      </w:r>
      <w:r w:rsidR="002F5C11">
        <w:t xml:space="preserve">seaduslikku alust avalduse menetlusse võtmisest </w:t>
      </w:r>
      <w:r w:rsidR="00B51980">
        <w:t>keeldu</w:t>
      </w:r>
      <w:r w:rsidR="002F5C11">
        <w:t xml:space="preserve">miseks. </w:t>
      </w:r>
      <w:r w:rsidR="00B51980" w:rsidRPr="00B51980">
        <w:t xml:space="preserve">Arusaamatu on eesmärk, mida </w:t>
      </w:r>
      <w:r w:rsidR="002F5C11">
        <w:t xml:space="preserve">MJT </w:t>
      </w:r>
      <w:r w:rsidR="00B51980" w:rsidRPr="00B51980">
        <w:t>kõnealuse muudatusega soovib saavutada.</w:t>
      </w:r>
      <w:r w:rsidR="00B51980">
        <w:t xml:space="preserve"> </w:t>
      </w:r>
    </w:p>
    <w:p w14:paraId="3FABC169" w14:textId="2C189B30" w:rsidR="00B51980" w:rsidRDefault="00CB7DFC" w:rsidP="00B51980">
      <w:pPr>
        <w:jc w:val="both"/>
      </w:pPr>
      <w:r>
        <w:rPr>
          <w:b/>
          <w:bCs/>
        </w:rPr>
        <w:t>Ettepanek nr 2: v</w:t>
      </w:r>
      <w:r w:rsidR="003665F3" w:rsidRPr="00CB7DFC">
        <w:rPr>
          <w:b/>
          <w:bCs/>
        </w:rPr>
        <w:t>aratu juriidilisest isikust võlgniku esitatud pankrotiavalduse menetlejate ringi ja menetluse järjekorra muutmine</w:t>
      </w:r>
      <w:r>
        <w:rPr>
          <w:b/>
          <w:bCs/>
        </w:rPr>
        <w:t xml:space="preserve">. </w:t>
      </w:r>
      <w:r w:rsidR="00B51980" w:rsidRPr="00B51980">
        <w:t xml:space="preserve">Nõustuda ei saa ettepanekuga, mille kohaselt esitavad juriidilisest isikust varatud võlgnikud enda pankrotiavalduse esmalt </w:t>
      </w:r>
      <w:r w:rsidR="00445E0E">
        <w:t>MJT-le</w:t>
      </w:r>
      <w:r w:rsidR="00B51980" w:rsidRPr="00B51980">
        <w:t xml:space="preserve"> ja/või EMTA</w:t>
      </w:r>
      <w:r w:rsidR="00445E0E">
        <w:t>-</w:t>
      </w:r>
      <w:r w:rsidR="00B51980" w:rsidRPr="00B51980">
        <w:t xml:space="preserve">le ning see toimub haldusmenetluse seaduse järgi. Ka siin jääb muudatuse eesmärk ebaselgeks ning on ebavajalik. </w:t>
      </w:r>
      <w:r w:rsidR="00B51980">
        <w:t>S</w:t>
      </w:r>
      <w:r w:rsidR="00B51980" w:rsidRPr="00B51980">
        <w:t>ee ei muuda menetlust efektiivsemaks, vaid hoopis keeruliseks ja pikaajalise</w:t>
      </w:r>
      <w:r w:rsidR="00445E0E">
        <w:t>ma</w:t>
      </w:r>
      <w:r w:rsidR="00B51980" w:rsidRPr="00B51980">
        <w:t>ks, kuna muudatusettepaneku järgi tuleb kohtusse ikka pöörduda. Ühtlasi tuleb võtta arvesse võimalikku huvide konflikti, kuna EMTA on mitmel juhul võlgniku võlausaldajaks. Võlausaldaja rollis ei saa EMTA pankrotiavaldust mingil</w:t>
      </w:r>
      <w:r w:rsidR="00445E0E">
        <w:t>gi</w:t>
      </w:r>
      <w:r w:rsidR="00B51980" w:rsidRPr="00B51980">
        <w:t xml:space="preserve"> viisil menetleda.</w:t>
      </w:r>
      <w:r w:rsidR="00B51980">
        <w:t xml:space="preserve"> </w:t>
      </w:r>
      <w:r w:rsidR="00BF5C8B">
        <w:t xml:space="preserve">Pealegi ei saa tähelepanuta jätta asjaolu, et </w:t>
      </w:r>
      <w:r w:rsidR="00EE5973" w:rsidRPr="00EE5973">
        <w:t xml:space="preserve">maksuhaldur </w:t>
      </w:r>
      <w:r w:rsidR="00BF5C8B">
        <w:t xml:space="preserve">saab tõhusamalt ja </w:t>
      </w:r>
      <w:r w:rsidR="000D6F0E">
        <w:t xml:space="preserve">täielikult ilma </w:t>
      </w:r>
      <w:r w:rsidR="00BF5C8B">
        <w:t xml:space="preserve">kuludeta maksuvõla sissenõudmiseks rakendada ise võlgniku suhtes täitetoiminguid ja maksukorralduse seaduse </w:t>
      </w:r>
      <w:r w:rsidR="00EE5973" w:rsidRPr="00EE5973">
        <w:t xml:space="preserve">§ 40 lõikest 1 tulenevat kolmanda isiku </w:t>
      </w:r>
      <w:r w:rsidR="000D6F0E">
        <w:t xml:space="preserve">solidaarset </w:t>
      </w:r>
      <w:r w:rsidR="00EE5973" w:rsidRPr="00EE5973">
        <w:t>vastutust</w:t>
      </w:r>
      <w:r w:rsidR="00BF5C8B">
        <w:t xml:space="preserve"> </w:t>
      </w:r>
      <w:r w:rsidR="000D6F0E">
        <w:t xml:space="preserve">võlgnikuga </w:t>
      </w:r>
      <w:r w:rsidR="00EE5973" w:rsidRPr="00EE5973">
        <w:t>vastutusotsus</w:t>
      </w:r>
      <w:r w:rsidR="00BF5C8B">
        <w:t xml:space="preserve">e alusel. </w:t>
      </w:r>
      <w:r w:rsidR="000D6F0E">
        <w:t>Siinjuures o</w:t>
      </w:r>
      <w:r w:rsidR="00C84A0A" w:rsidRPr="00EE5973">
        <w:t xml:space="preserve">n </w:t>
      </w:r>
      <w:r w:rsidR="00B51980">
        <w:t xml:space="preserve">vastuolu nn enese mittesüüstamise privileegiga, kuna avalduse esitamine EMTA-le toob kaasa maksuhalduri reaktsiooni, mis annab võlgnikule aluse väita, et viidatud privileegile tuginedes ei pea ta midagi avaldama. </w:t>
      </w:r>
      <w:r w:rsidR="00C84A0A">
        <w:t>Arvamust avaldanud kohtunik on sellega paljukordselt kokku puutunud nii kriminaal- kui ka tsiviilasjades ja näeb selle proleemi tõsidust.</w:t>
      </w:r>
      <w:r w:rsidR="00445E0E">
        <w:t xml:space="preserve"> </w:t>
      </w:r>
    </w:p>
    <w:p w14:paraId="3660B15D" w14:textId="173767C9" w:rsidR="003665F3" w:rsidRDefault="00CB7DFC" w:rsidP="009C6F4E">
      <w:pPr>
        <w:jc w:val="both"/>
      </w:pPr>
      <w:r>
        <w:rPr>
          <w:b/>
          <w:bCs/>
        </w:rPr>
        <w:t>Ettepanek nr 3: ä</w:t>
      </w:r>
      <w:r w:rsidR="003665F3" w:rsidRPr="00CB7DFC">
        <w:rPr>
          <w:b/>
          <w:bCs/>
        </w:rPr>
        <w:t>rikeelu kohaldamise muutmine</w:t>
      </w:r>
      <w:r>
        <w:rPr>
          <w:b/>
          <w:bCs/>
        </w:rPr>
        <w:t>.</w:t>
      </w:r>
      <w:r w:rsidR="003665F3">
        <w:t xml:space="preserve"> </w:t>
      </w:r>
      <w:r w:rsidR="009C6F4E" w:rsidRPr="009C6F4E">
        <w:t xml:space="preserve">Esmalt jääb ebaselgeks, kas </w:t>
      </w:r>
      <w:r w:rsidR="009C6F4E">
        <w:t>MJT</w:t>
      </w:r>
      <w:r w:rsidR="009C6F4E" w:rsidRPr="009C6F4E">
        <w:t xml:space="preserve"> soovib lisaks PankrS §-s 91 kehtestatud ärikeelule täiendavat ärikeelu regulatsiooni või </w:t>
      </w:r>
      <w:r w:rsidR="00990C18">
        <w:t xml:space="preserve">muuta </w:t>
      </w:r>
      <w:r w:rsidR="009C6F4E" w:rsidRPr="009C6F4E">
        <w:t>kehtivat. Kuna ärikeeluga riivatakse oluliselt isikute põhiõigust – ettevõtlusvabadust, siis vajab sellise piirangu kohaldamine kohtulikku kontrolli. Sedavõrd intensiivse riive kohaldamist ei saa anda muude asutus</w:t>
      </w:r>
      <w:r w:rsidR="009C6F4E">
        <w:t>t</w:t>
      </w:r>
      <w:r w:rsidR="009C6F4E" w:rsidRPr="009C6F4E">
        <w:t>e pädevusse.</w:t>
      </w:r>
      <w:r w:rsidR="00111971">
        <w:t xml:space="preserve"> Ärikeelu kohaldamist</w:t>
      </w:r>
      <w:r w:rsidR="000D6F0E">
        <w:t>,</w:t>
      </w:r>
      <w:r w:rsidR="00111971">
        <w:t xml:space="preserve"> näiteks kohtunikuabide poolt</w:t>
      </w:r>
      <w:r w:rsidR="000D6F0E">
        <w:t>,</w:t>
      </w:r>
      <w:r w:rsidR="00111971">
        <w:t xml:space="preserve"> ei saa kehtivate TsMS ja </w:t>
      </w:r>
      <w:r w:rsidR="000D6F0E">
        <w:t xml:space="preserve">kohtute seaduse </w:t>
      </w:r>
      <w:r w:rsidR="00111971">
        <w:t>sätete juures lubada. Ärikeelu kohaldamine on kaalutlusõigusel põhinev isiku õiguste (tegevusvabaduse) piirang, mida saab kohaldada üksnes ko</w:t>
      </w:r>
      <w:r w:rsidR="000D6F0E">
        <w:t>hus</w:t>
      </w:r>
      <w:r w:rsidR="00111971">
        <w:t>. See on õigusemõistmine ja Riigikohus on analoogsetes asjades öelnud, et kaalutlusõigusel põhinevaid õigusemõistmise hulka kuuluvaid otsustusi saab teha üksnes kohtunik. Ärikeelu laialdasem kohaldamine ei ole proportsionaalne olukorras, kus eelnevad leebemad sunnimeetodid on jäetud pädevate asutuste poolt rakendamata (nt trahvid) ja võlgnikule ei ole varasemalt mingeid ettekirjutusi ega nõudeid esitatud.</w:t>
      </w:r>
      <w:r w:rsidR="00B802A1">
        <w:t xml:space="preserve"> Nõustuda tuleb, et praeguseks väljakujunenud Riigikohtu praktika järgi </w:t>
      </w:r>
      <w:r w:rsidR="00EF1FEA">
        <w:t xml:space="preserve">on peaaegu, et võimatu </w:t>
      </w:r>
      <w:r w:rsidR="00B802A1">
        <w:t xml:space="preserve">PankrS sätete järgi ärikeeldu kohaldada. MJT </w:t>
      </w:r>
      <w:r w:rsidR="00EF1FEA">
        <w:t xml:space="preserve">aitab aga </w:t>
      </w:r>
      <w:r w:rsidR="00B802A1">
        <w:t xml:space="preserve">PankrS § </w:t>
      </w:r>
      <w:r w:rsidR="00EF1FEA">
        <w:t>192</w:t>
      </w:r>
      <w:r w:rsidR="00EF1FEA">
        <w:rPr>
          <w:vertAlign w:val="superscript"/>
        </w:rPr>
        <w:t>1</w:t>
      </w:r>
      <w:r w:rsidR="00EF1FEA">
        <w:t xml:space="preserve"> lg 3 </w:t>
      </w:r>
      <w:r w:rsidR="00B802A1">
        <w:t xml:space="preserve">järgi </w:t>
      </w:r>
      <w:r w:rsidR="00EF1FEA">
        <w:t xml:space="preserve">kaasa </w:t>
      </w:r>
      <w:r w:rsidR="00B802A1">
        <w:t>ühtse kohtupraktika kujundamise</w:t>
      </w:r>
      <w:r w:rsidR="00EF1FEA">
        <w:t xml:space="preserve">le </w:t>
      </w:r>
      <w:r w:rsidR="00B802A1">
        <w:t>ning PankrS § 192</w:t>
      </w:r>
      <w:r w:rsidR="00B802A1">
        <w:rPr>
          <w:vertAlign w:val="superscript"/>
        </w:rPr>
        <w:t>8</w:t>
      </w:r>
      <w:r w:rsidR="00B802A1">
        <w:t xml:space="preserve"> lg 4 kohaselt on MJT-l kohtult ärikeelu kohaldamise taotlemise õigus. </w:t>
      </w:r>
      <w:r w:rsidR="00EF1FEA">
        <w:t xml:space="preserve">Seega saab MJT ise kaasa aidata </w:t>
      </w:r>
      <w:r w:rsidR="000E7130">
        <w:t xml:space="preserve">soovitud kujul ärikeelu sisustamisele ja selle kohaldamise </w:t>
      </w:r>
      <w:r w:rsidR="00EF1FEA">
        <w:t>kohtupraktika kujundamisele</w:t>
      </w:r>
      <w:r w:rsidR="000E7130">
        <w:t xml:space="preserve">. MJT-le </w:t>
      </w:r>
      <w:r w:rsidR="00E707B3">
        <w:t xml:space="preserve">võib </w:t>
      </w:r>
      <w:r w:rsidR="000E7130">
        <w:t xml:space="preserve">soovitada isikute nimekirja pidamist, kelle suhtes avaliku uurimise käigus on ilmnenud, et </w:t>
      </w:r>
      <w:r w:rsidR="004635EB">
        <w:t>nad on toime pannud raske juhtimisvea ja/või õigusrikkumise. Analoogse näitena võib tuua Tarbijakaitse ja Tehnilise Järelevalve Ameti poolt peetava</w:t>
      </w:r>
      <w:r w:rsidR="00E707B3">
        <w:t>t</w:t>
      </w:r>
      <w:r w:rsidR="004635EB">
        <w:t xml:space="preserve"> avalik</w:t>
      </w:r>
      <w:r w:rsidR="00E707B3">
        <w:t>k</w:t>
      </w:r>
      <w:r w:rsidR="004635EB">
        <w:t xml:space="preserve">u musta nimekirja ettevõtetest, kes on tarbijale </w:t>
      </w:r>
      <w:r w:rsidR="004635EB">
        <w:lastRenderedPageBreak/>
        <w:t>müünud nt puudustega saapad või köögimööbli. Igal juhul tõhus</w:t>
      </w:r>
      <w:r w:rsidR="00E707B3">
        <w:t>am</w:t>
      </w:r>
      <w:r w:rsidR="004635EB">
        <w:t>, kiire</w:t>
      </w:r>
      <w:r w:rsidR="00E707B3">
        <w:t>m</w:t>
      </w:r>
      <w:r w:rsidR="004635EB">
        <w:t xml:space="preserve"> ja </w:t>
      </w:r>
      <w:r w:rsidR="00E707B3">
        <w:t xml:space="preserve">mõjuvam meede ausa Eesti ärikeskkonna tagamiseks kui ärikeelu kohaldamine. </w:t>
      </w:r>
      <w:r w:rsidR="004635EB">
        <w:t xml:space="preserve"> </w:t>
      </w:r>
      <w:r w:rsidR="00B802A1">
        <w:t xml:space="preserve">   </w:t>
      </w:r>
    </w:p>
    <w:p w14:paraId="34ACB04E" w14:textId="4BA64852" w:rsidR="003665F3" w:rsidRDefault="00CB7DFC" w:rsidP="00CB7DFC">
      <w:pPr>
        <w:jc w:val="both"/>
      </w:pPr>
      <w:r>
        <w:rPr>
          <w:b/>
          <w:bCs/>
        </w:rPr>
        <w:t>Ettepanek nr 4: a</w:t>
      </w:r>
      <w:r w:rsidR="003665F3" w:rsidRPr="00CB7DFC">
        <w:rPr>
          <w:b/>
          <w:bCs/>
        </w:rPr>
        <w:t xml:space="preserve">valikes uurimistes MJT </w:t>
      </w:r>
      <w:r w:rsidR="000D6F0E">
        <w:rPr>
          <w:b/>
          <w:bCs/>
        </w:rPr>
        <w:t xml:space="preserve">maakohtule </w:t>
      </w:r>
      <w:r w:rsidR="003665F3" w:rsidRPr="00CB7DFC">
        <w:rPr>
          <w:b/>
          <w:bCs/>
        </w:rPr>
        <w:t>ja tsiviilkohtumenetlusele allutatuse muutmine</w:t>
      </w:r>
      <w:r>
        <w:rPr>
          <w:b/>
          <w:bCs/>
        </w:rPr>
        <w:t>.</w:t>
      </w:r>
      <w:r w:rsidR="003665F3">
        <w:t xml:space="preserve"> </w:t>
      </w:r>
      <w:r w:rsidR="0073482B">
        <w:t>Pankrotimenetlus peab jääma terviku</w:t>
      </w:r>
      <w:r w:rsidR="00990C18">
        <w:t>n</w:t>
      </w:r>
      <w:r w:rsidR="0073482B">
        <w:t xml:space="preserve">a kohtuliku kontrolli alla, sh </w:t>
      </w:r>
      <w:r w:rsidR="000D6F0E">
        <w:t xml:space="preserve">usaldusisikutele ja halduritele </w:t>
      </w:r>
      <w:r w:rsidR="0073482B">
        <w:t xml:space="preserve">tasu jmt määramine. See ei välista EMTA või MJT </w:t>
      </w:r>
      <w:r w:rsidR="002B4FE2">
        <w:t xml:space="preserve">enese </w:t>
      </w:r>
      <w:r w:rsidR="0073482B">
        <w:t>poolt muude menetluste läbiviimist, nt võlgniku juhatuse liikme vastutusmenetlus. Kui muuta avalik</w:t>
      </w:r>
      <w:r w:rsidR="002B4FE2">
        <w:t xml:space="preserve">ku </w:t>
      </w:r>
      <w:r w:rsidR="0073482B">
        <w:t xml:space="preserve">uurimist MJT pakutud viisil, jääb selgusetuks </w:t>
      </w:r>
      <w:r w:rsidR="002B4FE2">
        <w:t xml:space="preserve">kuidas on </w:t>
      </w:r>
      <w:r w:rsidR="0073482B">
        <w:t>taga</w:t>
      </w:r>
      <w:r w:rsidR="002B4FE2">
        <w:t>tud</w:t>
      </w:r>
      <w:r w:rsidR="0073482B">
        <w:t xml:space="preserve"> sel</w:t>
      </w:r>
      <w:r w:rsidR="002B4FE2">
        <w:t>lisel</w:t>
      </w:r>
      <w:r w:rsidR="0073482B">
        <w:t xml:space="preserve"> juhul MJT</w:t>
      </w:r>
      <w:r w:rsidR="00C15C68">
        <w:t xml:space="preserve"> kui menetleja</w:t>
      </w:r>
      <w:r w:rsidR="0073482B">
        <w:t xml:space="preserve"> erapooletus</w:t>
      </w:r>
      <w:r w:rsidR="002B4FE2">
        <w:t xml:space="preserve"> ja objektiivsus</w:t>
      </w:r>
      <w:r w:rsidR="00C15C68">
        <w:t>. MJT on tõstatanud küsimuse, kas maksejõuetusmenetlus kuulub maakoh</w:t>
      </w:r>
      <w:r w:rsidR="002B4FE2">
        <w:t>t</w:t>
      </w:r>
      <w:r w:rsidR="00C15C68">
        <w:t>u või halduskohtu menetletavate asjade ringi. Näib, et MJT soovib maksejõuetusmenetluse avalik</w:t>
      </w:r>
      <w:r w:rsidR="002B4FE2">
        <w:t>u</w:t>
      </w:r>
      <w:r w:rsidR="00C15C68">
        <w:t xml:space="preserve"> uurimise liigitada haldusasjade (haldusmenetluse) </w:t>
      </w:r>
      <w:r w:rsidR="002B4FE2">
        <w:t>alla</w:t>
      </w:r>
      <w:r w:rsidR="00C15C68">
        <w:t xml:space="preserve"> ja see peaks kuuluma halduskohtu pädevusse </w:t>
      </w:r>
      <w:r w:rsidR="002B4FE2">
        <w:t>ning</w:t>
      </w:r>
      <w:r w:rsidR="00C15C68">
        <w:t xml:space="preserve"> maakohtule need lahendamiseks ei tuleks. </w:t>
      </w:r>
      <w:r w:rsidR="002B4FE2">
        <w:t>P</w:t>
      </w:r>
      <w:r w:rsidR="00C15C68">
        <w:t>ikaajali</w:t>
      </w:r>
      <w:r w:rsidR="002B4FE2">
        <w:t>s</w:t>
      </w:r>
      <w:r w:rsidR="00C15C68">
        <w:t xml:space="preserve">e </w:t>
      </w:r>
      <w:r w:rsidR="002B4FE2">
        <w:t xml:space="preserve">staažiga </w:t>
      </w:r>
      <w:r w:rsidR="00C15C68">
        <w:t xml:space="preserve">maksejõuetuskohtunik avaldab arvamust, et kõik maksejõuetusasjad peaksid siiski kuuluma </w:t>
      </w:r>
      <w:r w:rsidR="001B3345">
        <w:t xml:space="preserve">maakohtu pädevusse ja lahendamisele </w:t>
      </w:r>
      <w:r w:rsidR="00C15C68">
        <w:t xml:space="preserve">tsiviilkohtumenetluse </w:t>
      </w:r>
      <w:r w:rsidR="001B3345">
        <w:t>korras</w:t>
      </w:r>
      <w:r w:rsidR="00C15C68">
        <w:t xml:space="preserve">. Eririikide praktikas on kasutatud lahendust, et maksejõuetusasjad kuuluvad tsiviilasjade </w:t>
      </w:r>
      <w:r w:rsidR="001B3345">
        <w:t>alla</w:t>
      </w:r>
      <w:r w:rsidR="00C15C68">
        <w:t>, kuid neid asju lahendavad eraldi kojad</w:t>
      </w:r>
      <w:r w:rsidR="001B3345">
        <w:t xml:space="preserve"> </w:t>
      </w:r>
      <w:r w:rsidR="00C15C68">
        <w:t>/</w:t>
      </w:r>
      <w:r w:rsidR="001B3345">
        <w:t xml:space="preserve"> </w:t>
      </w:r>
      <w:r w:rsidR="00C15C68">
        <w:t>kolleegiumid</w:t>
      </w:r>
      <w:r w:rsidR="001B3345">
        <w:t xml:space="preserve"> </w:t>
      </w:r>
      <w:r w:rsidR="00C15C68">
        <w:t>/</w:t>
      </w:r>
      <w:r w:rsidR="001B3345">
        <w:t xml:space="preserve"> </w:t>
      </w:r>
      <w:r w:rsidR="00C15C68">
        <w:t>kohtunikud. Juhitakse tähelepanu, et halduskohtu- ja tsiviilkohtumenetluse</w:t>
      </w:r>
      <w:r w:rsidR="001B3345">
        <w:t>s</w:t>
      </w:r>
      <w:r w:rsidR="00C15C68">
        <w:t xml:space="preserve"> tõendite kogumise ja menetluse viisid on sootuks erinevad. Märgitakse, et ei </w:t>
      </w:r>
      <w:r w:rsidR="001B3345">
        <w:t>ole arusaadav väide</w:t>
      </w:r>
      <w:r w:rsidR="00C15C68">
        <w:t xml:space="preserve">, kuidas allub MJT </w:t>
      </w:r>
      <w:r w:rsidR="001B3345">
        <w:t xml:space="preserve">maakohtule </w:t>
      </w:r>
      <w:r w:rsidR="00500E26">
        <w:t>ja tsiviilkohtumenetlusele – PankrS § 192</w:t>
      </w:r>
      <w:r w:rsidR="00500E26" w:rsidRPr="00500E26">
        <w:rPr>
          <w:vertAlign w:val="superscript"/>
        </w:rPr>
        <w:t>1</w:t>
      </w:r>
      <w:r w:rsidR="00500E26">
        <w:t xml:space="preserve"> l</w:t>
      </w:r>
      <w:r w:rsidR="001B3345">
        <w:t xml:space="preserve">õigete </w:t>
      </w:r>
      <w:r w:rsidR="00500E26">
        <w:t xml:space="preserve">1 </w:t>
      </w:r>
      <w:r w:rsidR="001B3345">
        <w:t xml:space="preserve">ja 4 </w:t>
      </w:r>
      <w:r w:rsidR="00500E26">
        <w:t xml:space="preserve">järgi on </w:t>
      </w:r>
      <w:r w:rsidR="001B3345">
        <w:t>MJT</w:t>
      </w:r>
      <w:r w:rsidR="00500E26">
        <w:t xml:space="preserve"> sõltumatu struktuuriüksus, isegi siis kui ta</w:t>
      </w:r>
      <w:r w:rsidR="001B3345">
        <w:t>l</w:t>
      </w:r>
      <w:r w:rsidR="00500E26">
        <w:t xml:space="preserve"> </w:t>
      </w:r>
      <w:r w:rsidR="001B3345">
        <w:t xml:space="preserve">on </w:t>
      </w:r>
      <w:r w:rsidR="00500E26">
        <w:t xml:space="preserve">avalikus uurimises </w:t>
      </w:r>
      <w:r w:rsidR="001B3345">
        <w:t xml:space="preserve">võlausaldajate </w:t>
      </w:r>
      <w:r w:rsidR="00500E26">
        <w:t xml:space="preserve">üldkoosoleku ja </w:t>
      </w:r>
      <w:r w:rsidR="001B3345">
        <w:t>pankroti</w:t>
      </w:r>
      <w:r w:rsidR="00500E26">
        <w:t xml:space="preserve">toimkonna </w:t>
      </w:r>
      <w:r w:rsidR="001B3345">
        <w:t>pädevus</w:t>
      </w:r>
      <w:r w:rsidR="00500E26">
        <w:t xml:space="preserve">. </w:t>
      </w:r>
    </w:p>
    <w:p w14:paraId="6E4B615E" w14:textId="7B9B24CF" w:rsidR="003665F3" w:rsidRDefault="00CB7DFC" w:rsidP="00CB7DFC">
      <w:r>
        <w:rPr>
          <w:b/>
          <w:bCs/>
        </w:rPr>
        <w:t xml:space="preserve">Ettepanek nr 5: </w:t>
      </w:r>
      <w:r w:rsidRPr="00CB7DFC">
        <w:rPr>
          <w:b/>
          <w:bCs/>
        </w:rPr>
        <w:t>Justiitsministeeriumil laiaulatusliku mõjuhinnangu tegemine</w:t>
      </w:r>
      <w:r w:rsidR="00500E26">
        <w:t xml:space="preserve">. </w:t>
      </w:r>
      <w:r w:rsidR="00E66999">
        <w:t xml:space="preserve">On tekkinud küsimus, mis on alapunktis mainitud </w:t>
      </w:r>
      <w:r w:rsidR="00E66999" w:rsidRPr="00E66999">
        <w:rPr>
          <w:i/>
          <w:iCs/>
        </w:rPr>
        <w:t>võistlev pankrotimenetlus</w:t>
      </w:r>
      <w:r w:rsidR="00E66999">
        <w:t>. Mõjuhinnangu läbiviimine on põhjendatud.</w:t>
      </w:r>
    </w:p>
    <w:p w14:paraId="650A6CD4" w14:textId="42344D25" w:rsidR="00CB7DFC" w:rsidRDefault="00CB7DFC" w:rsidP="00D94FD9">
      <w:pPr>
        <w:jc w:val="both"/>
      </w:pPr>
      <w:r>
        <w:rPr>
          <w:b/>
          <w:bCs/>
        </w:rPr>
        <w:t>Ettepanek</w:t>
      </w:r>
      <w:r w:rsidR="00E707B3">
        <w:rPr>
          <w:b/>
          <w:bCs/>
        </w:rPr>
        <w:t>ud</w:t>
      </w:r>
      <w:r>
        <w:rPr>
          <w:b/>
          <w:bCs/>
        </w:rPr>
        <w:t xml:space="preserve"> nr 6 ja 7: </w:t>
      </w:r>
      <w:r w:rsidRPr="00CB7DFC">
        <w:rPr>
          <w:b/>
          <w:bCs/>
        </w:rPr>
        <w:t xml:space="preserve">Justiitsministeeriumi või MJT juurde </w:t>
      </w:r>
      <w:r>
        <w:rPr>
          <w:b/>
          <w:bCs/>
        </w:rPr>
        <w:t>PankrS</w:t>
      </w:r>
      <w:r w:rsidRPr="00CB7DFC">
        <w:rPr>
          <w:b/>
          <w:bCs/>
        </w:rPr>
        <w:t xml:space="preserve"> § 54 nimetatud kutsetegevuse kandjate tegutsemisõigust andva ja tegutsemisõigust ära võtva haldusorgani ning registri loomine ning haldusjärelevalve koondamine ühe haldusjärelevalveorgani, st MJT kätte</w:t>
      </w:r>
      <w:r w:rsidR="006A44A7">
        <w:t xml:space="preserve">. </w:t>
      </w:r>
      <w:r>
        <w:t xml:space="preserve">MJT on teinud ettepanku võtta registri pidamise kohustus Kohtutäiturite ja Pankrotihaldurite Kojalt </w:t>
      </w:r>
      <w:r w:rsidR="00ED7FE2">
        <w:t>(</w:t>
      </w:r>
      <w:r w:rsidR="00127416">
        <w:t xml:space="preserve">koda) </w:t>
      </w:r>
      <w:r>
        <w:t xml:space="preserve">ära, sest </w:t>
      </w:r>
      <w:r w:rsidR="00127416">
        <w:t>koda</w:t>
      </w:r>
      <w:r>
        <w:t xml:space="preserve"> ei täida PankrS §</w:t>
      </w:r>
      <w:r w:rsidR="00A474BB">
        <w:t>-s</w:t>
      </w:r>
      <w:r>
        <w:t xml:space="preserve"> 59 toodud nõudeid</w:t>
      </w:r>
      <w:r w:rsidR="00ED7FE2">
        <w:t xml:space="preserve">. </w:t>
      </w:r>
      <w:r w:rsidR="00127416">
        <w:t>Ei toeta</w:t>
      </w:r>
      <w:r w:rsidR="00A474BB">
        <w:t>ta</w:t>
      </w:r>
      <w:r w:rsidR="00127416">
        <w:t xml:space="preserve"> ettepanekut, sest kojale seni pandud ülesanded </w:t>
      </w:r>
      <w:r w:rsidR="0057015D">
        <w:t>(sh PankrS §</w:t>
      </w:r>
      <w:r w:rsidR="00A474BB">
        <w:t>-s</w:t>
      </w:r>
      <w:r w:rsidR="0057015D">
        <w:t xml:space="preserve"> 59 </w:t>
      </w:r>
      <w:r w:rsidR="00A474BB">
        <w:t xml:space="preserve">nimetatud </w:t>
      </w:r>
      <w:r w:rsidR="0057015D">
        <w:t>ülesanded) kuuluvad põhimõtteliselt selle kutseorganisatsiooni enesekorraldusõiguse hulka ja nad täidavadki neid ülesandeid enesekorraldusõiguse raames. Võimalik, et selle enesekorraldusõiguse teostamise viisi ei ole koda eriti arendanud, ehk on selleks ka ressurss vähene, kuid seda on võimalik arendada ja se</w:t>
      </w:r>
      <w:r w:rsidR="00A474BB">
        <w:t xml:space="preserve">lleks ei tule </w:t>
      </w:r>
      <w:r w:rsidR="0057015D">
        <w:t>õigust ära võt</w:t>
      </w:r>
      <w:r w:rsidR="00A474BB">
        <w:t>ta</w:t>
      </w:r>
      <w:r w:rsidR="0057015D">
        <w:t xml:space="preserve">. </w:t>
      </w:r>
      <w:r w:rsidR="0057015D">
        <w:rPr>
          <w:rFonts w:eastAsia="Times New Roman"/>
        </w:rPr>
        <w:t xml:space="preserve">Kõigi maksejõuetusvaldkonnas ülesandeid täitvate isikute tegutsemisõigust ja </w:t>
      </w:r>
      <w:r w:rsidR="00A474BB">
        <w:rPr>
          <w:rFonts w:eastAsia="Times New Roman"/>
        </w:rPr>
        <w:t xml:space="preserve">õigust </w:t>
      </w:r>
      <w:r w:rsidR="0057015D">
        <w:rPr>
          <w:rFonts w:eastAsia="Times New Roman"/>
        </w:rPr>
        <w:t>äravõtva haldusorgani ning registri moodustami</w:t>
      </w:r>
      <w:r w:rsidR="00A474BB">
        <w:rPr>
          <w:rFonts w:eastAsia="Times New Roman"/>
        </w:rPr>
        <w:t>n</w:t>
      </w:r>
      <w:r w:rsidR="0057015D">
        <w:rPr>
          <w:rFonts w:eastAsia="Times New Roman"/>
        </w:rPr>
        <w:t xml:space="preserve">e tähendaks tõenäoliselt ka nende isikute õigusliku seisundi muutmist ning koja ümberkorraldamist. Ebaselgeks jääb, kas see on lõppastmes vajalik ning kas ei ole muid võimalusi koja poolt seaduse täitmise tagamiseks. Lisaks ei </w:t>
      </w:r>
      <w:r w:rsidR="00A474BB">
        <w:rPr>
          <w:rFonts w:eastAsia="Times New Roman"/>
        </w:rPr>
        <w:t xml:space="preserve">ole </w:t>
      </w:r>
      <w:r w:rsidR="0057015D">
        <w:rPr>
          <w:rFonts w:eastAsia="Times New Roman"/>
        </w:rPr>
        <w:t xml:space="preserve">teada, kas </w:t>
      </w:r>
      <w:r w:rsidR="00A474BB">
        <w:rPr>
          <w:rFonts w:eastAsia="Times New Roman"/>
        </w:rPr>
        <w:t xml:space="preserve">MJT endal </w:t>
      </w:r>
      <w:r w:rsidR="0057015D">
        <w:rPr>
          <w:rFonts w:eastAsia="Times New Roman"/>
        </w:rPr>
        <w:t xml:space="preserve">oleks vastav ressurss </w:t>
      </w:r>
      <w:r w:rsidR="00A474BB">
        <w:rPr>
          <w:rFonts w:eastAsia="Times New Roman"/>
        </w:rPr>
        <w:t xml:space="preserve">taoliste </w:t>
      </w:r>
      <w:r w:rsidR="0057015D">
        <w:rPr>
          <w:rFonts w:eastAsia="Times New Roman"/>
        </w:rPr>
        <w:t>ülesannetega tegelemiseks.</w:t>
      </w:r>
    </w:p>
    <w:p w14:paraId="1EC37C34" w14:textId="38C61B72" w:rsidR="00CB7DFC" w:rsidRDefault="00CB7DFC" w:rsidP="00CB7DFC">
      <w:pPr>
        <w:jc w:val="both"/>
      </w:pPr>
      <w:r w:rsidRPr="00CB7DFC">
        <w:rPr>
          <w:b/>
          <w:bCs/>
        </w:rPr>
        <w:t>Ettepanek nr 8: Justiitsministril kehtestada PankrS § 54 nimetatud kutsetegevuse kandjate  käitumisreeglid, hea tava ja eetikakoodeks.</w:t>
      </w:r>
      <w:r>
        <w:rPr>
          <w:b/>
          <w:bCs/>
        </w:rPr>
        <w:t xml:space="preserve"> </w:t>
      </w:r>
      <w:r w:rsidR="007E1D68" w:rsidRPr="007E1D68">
        <w:t xml:space="preserve">Käitumisreeglite, hea tava ja eetikakoodeksi jms koostamise ettepanekuga pigem </w:t>
      </w:r>
      <w:r w:rsidR="007E1D68">
        <w:t>saab nõustuda</w:t>
      </w:r>
      <w:r w:rsidR="007E1D68" w:rsidRPr="007E1D68">
        <w:t>, kuna praegu olemasolev vajaks täiustamist ja kaasajastamist.</w:t>
      </w:r>
      <w:r w:rsidR="007E1D68">
        <w:t xml:space="preserve"> Samas on üldine aususe ja hoolduse printsiip ka praegu kehtiv. </w:t>
      </w:r>
    </w:p>
    <w:p w14:paraId="3F952BD0" w14:textId="2AD70BDE" w:rsidR="001026B4" w:rsidRPr="00D403D4" w:rsidRDefault="00CB7DFC" w:rsidP="00CB7DFC">
      <w:pPr>
        <w:jc w:val="both"/>
      </w:pPr>
      <w:r w:rsidRPr="001026B4">
        <w:rPr>
          <w:b/>
          <w:bCs/>
        </w:rPr>
        <w:t xml:space="preserve">Ettepanek nr 9: ühtlustada PankrS § 54 nimetatud kutsetegevuse kandjate asjaajamise reegleid ning paralleelselt töötada välja </w:t>
      </w:r>
      <w:r w:rsidR="00D403D4">
        <w:rPr>
          <w:b/>
          <w:bCs/>
        </w:rPr>
        <w:t xml:space="preserve">IT-lahendusena </w:t>
      </w:r>
      <w:r w:rsidR="00561BBC" w:rsidRPr="001026B4">
        <w:rPr>
          <w:b/>
          <w:bCs/>
        </w:rPr>
        <w:t>töölaud</w:t>
      </w:r>
      <w:r w:rsidR="001026B4" w:rsidRPr="001026B4">
        <w:rPr>
          <w:b/>
          <w:bCs/>
        </w:rPr>
        <w:t>.</w:t>
      </w:r>
      <w:r w:rsidR="00D403D4">
        <w:rPr>
          <w:b/>
          <w:bCs/>
        </w:rPr>
        <w:t xml:space="preserve"> </w:t>
      </w:r>
      <w:r w:rsidR="0059312F" w:rsidRPr="0059312F">
        <w:t>TsMS § 56 lg 1 kohaselt</w:t>
      </w:r>
      <w:r w:rsidR="0059312F">
        <w:t xml:space="preserve"> peab</w:t>
      </w:r>
      <w:r w:rsidR="0059312F">
        <w:rPr>
          <w:b/>
          <w:bCs/>
        </w:rPr>
        <w:t xml:space="preserve"> </w:t>
      </w:r>
      <w:r w:rsidR="0059312F" w:rsidRPr="0059312F">
        <w:t>kohus iga tsiviilasja kohta toimikut</w:t>
      </w:r>
      <w:r w:rsidR="0059312F">
        <w:t xml:space="preserve">, </w:t>
      </w:r>
      <w:r w:rsidR="0059312F" w:rsidRPr="0059312F">
        <w:t xml:space="preserve">kuhu võetakse ajalises järgnevuses kõikide </w:t>
      </w:r>
      <w:r w:rsidR="00A474BB">
        <w:t>kohtu</w:t>
      </w:r>
      <w:r w:rsidR="0059312F" w:rsidRPr="0059312F">
        <w:t>astmete menetlusdokumendid ja muud asjaga seotud andmed.</w:t>
      </w:r>
      <w:r w:rsidR="0059312F">
        <w:t xml:space="preserve"> See tähendab, et kõik dokumendid</w:t>
      </w:r>
      <w:r w:rsidR="00A474BB">
        <w:t xml:space="preserve"> (kaasa arvatud tõendid) </w:t>
      </w:r>
      <w:r w:rsidR="0059312F">
        <w:t xml:space="preserve">tuleb kohtule esitada </w:t>
      </w:r>
      <w:r w:rsidR="00A474BB">
        <w:t>menetlusseadustikus sätestatud protsessivormis</w:t>
      </w:r>
      <w:r w:rsidR="0059312F">
        <w:t xml:space="preserve">, st mitte juurdepääsuõigusena (nt lingina) menetlusdokumendile. </w:t>
      </w:r>
      <w:r w:rsidR="00337A1B">
        <w:t xml:space="preserve">Seega kui oleks olemas selline MJT ettepanekul tehtud töölaud, tuleks kohtule menetlusdokumente ikkagi esitada </w:t>
      </w:r>
      <w:r w:rsidR="00A474BB">
        <w:t xml:space="preserve">seadusega nõutavas vormis </w:t>
      </w:r>
      <w:r w:rsidR="00337A1B">
        <w:t xml:space="preserve">ja mitte juurdepääsuõigusena. </w:t>
      </w:r>
      <w:r w:rsidR="0059312F">
        <w:t xml:space="preserve">Ka </w:t>
      </w:r>
      <w:r w:rsidR="0059312F">
        <w:lastRenderedPageBreak/>
        <w:t>praegu kasutavad pankrotihaldurid (mitte kõik) n</w:t>
      </w:r>
      <w:r w:rsidR="00A474BB">
        <w:t>-</w:t>
      </w:r>
      <w:r w:rsidR="0059312F">
        <w:t>ö pilveteenust halduri toimiku pidamiseks ja läbi juurdepääsuõiguse andmise saavad menetlusosalised</w:t>
      </w:r>
      <w:r w:rsidR="00337A1B">
        <w:t>, kohus</w:t>
      </w:r>
      <w:r w:rsidR="0059312F">
        <w:t xml:space="preserve"> ja tõenäolise</w:t>
      </w:r>
      <w:r w:rsidR="00337A1B">
        <w:t>lt</w:t>
      </w:r>
      <w:r w:rsidR="0059312F">
        <w:t xml:space="preserve"> ka MJT halduri toimikuga tutvuda.</w:t>
      </w:r>
    </w:p>
    <w:p w14:paraId="264842FC" w14:textId="780D383D" w:rsidR="001026B4" w:rsidRDefault="001026B4" w:rsidP="001026B4">
      <w:pPr>
        <w:jc w:val="both"/>
      </w:pPr>
      <w:r w:rsidRPr="001026B4">
        <w:rPr>
          <w:b/>
          <w:bCs/>
        </w:rPr>
        <w:t>Ettepanek nr 10: luua maakohtu(te)sse üksnes maksejõuetusasjadele spetsialiseerunud kohtunike maksejõuetusasjade osakond.</w:t>
      </w:r>
      <w:r w:rsidR="00577604">
        <w:rPr>
          <w:b/>
          <w:bCs/>
        </w:rPr>
        <w:t xml:space="preserve"> </w:t>
      </w:r>
      <w:r w:rsidR="00577604" w:rsidRPr="00577604">
        <w:t>Nagu eelpool kirjeldatud, on</w:t>
      </w:r>
      <w:r w:rsidR="00577604">
        <w:rPr>
          <w:b/>
          <w:bCs/>
        </w:rPr>
        <w:t xml:space="preserve"> </w:t>
      </w:r>
      <w:r w:rsidR="00577604">
        <w:t>Tartu Maakohtus lisaks süüteoosakonnale ja tsiviilosakonnale olemas eraldi maksejõuetuse- ja äriregistriasjade osakond, mille kohtunikest kuus kohtunikku on suuremal või vähemal määral spetsialiseerunud maksejõuetuse asjade</w:t>
      </w:r>
      <w:r w:rsidR="00D932DA">
        <w:t xml:space="preserve"> lahendamisele</w:t>
      </w:r>
      <w:r w:rsidR="00577604">
        <w:t xml:space="preserve">. </w:t>
      </w:r>
      <w:r w:rsidR="00987780">
        <w:t>Tartu Maakohtule teadaolevalt on maksejõuetusasjade</w:t>
      </w:r>
      <w:r w:rsidR="00D932DA">
        <w:t xml:space="preserve"> </w:t>
      </w:r>
      <w:r w:rsidR="00987780">
        <w:t>l</w:t>
      </w:r>
      <w:r w:rsidR="00D932DA">
        <w:t xml:space="preserve">ahendamisele </w:t>
      </w:r>
      <w:r w:rsidR="00987780">
        <w:t>spetsialiseerunud kohtunikud ka Harju Maakohtus.</w:t>
      </w:r>
    </w:p>
    <w:p w14:paraId="05C4BAE3" w14:textId="77777777" w:rsidR="008747BF" w:rsidRDefault="008747BF" w:rsidP="0069462E">
      <w:pPr>
        <w:pStyle w:val="Vahedeta"/>
      </w:pPr>
    </w:p>
    <w:p w14:paraId="751822A1" w14:textId="22F756AC" w:rsidR="0069462E" w:rsidRDefault="0069462E" w:rsidP="0069462E">
      <w:pPr>
        <w:pStyle w:val="Vahedeta"/>
      </w:pPr>
      <w:r>
        <w:t>Lugupidamisega</w:t>
      </w:r>
    </w:p>
    <w:p w14:paraId="2F69EC21" w14:textId="77777777" w:rsidR="0069462E" w:rsidRDefault="0069462E" w:rsidP="0069462E">
      <w:pPr>
        <w:pStyle w:val="Vahedeta"/>
      </w:pPr>
    </w:p>
    <w:p w14:paraId="5FA405FA" w14:textId="77777777" w:rsidR="0069462E" w:rsidRDefault="0069462E" w:rsidP="0069462E">
      <w:pPr>
        <w:pStyle w:val="Vahedeta"/>
      </w:pPr>
      <w:r>
        <w:t>Hiie Lindmets</w:t>
      </w:r>
    </w:p>
    <w:p w14:paraId="388EB7EB" w14:textId="3E75AD27" w:rsidR="008747BF" w:rsidRDefault="008747BF" w:rsidP="0069462E">
      <w:pPr>
        <w:pStyle w:val="Vahedeta"/>
      </w:pPr>
      <w:r>
        <w:t>Tartu Maakohus</w:t>
      </w:r>
    </w:p>
    <w:p w14:paraId="79217083" w14:textId="2352BFA4" w:rsidR="0069462E" w:rsidRPr="001026B4" w:rsidRDefault="008747BF" w:rsidP="0069462E">
      <w:pPr>
        <w:pStyle w:val="Vahedeta"/>
        <w:rPr>
          <w:b/>
          <w:bCs/>
        </w:rPr>
      </w:pPr>
      <w:r>
        <w:t xml:space="preserve">maksejõuetuse </w:t>
      </w:r>
      <w:r>
        <w:t xml:space="preserve">ja </w:t>
      </w:r>
      <w:r w:rsidR="0069462E">
        <w:t>äriregistri</w:t>
      </w:r>
      <w:r>
        <w:t xml:space="preserve">asjade </w:t>
      </w:r>
      <w:r w:rsidR="0069462E">
        <w:t xml:space="preserve">osakonna juhataja </w:t>
      </w:r>
    </w:p>
    <w:sectPr w:rsidR="0069462E" w:rsidRPr="001026B4" w:rsidSect="00C649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A8CF" w14:textId="77777777" w:rsidR="00C64909" w:rsidRDefault="00C64909" w:rsidP="00C64909">
      <w:pPr>
        <w:spacing w:after="0" w:line="240" w:lineRule="auto"/>
      </w:pPr>
      <w:r>
        <w:separator/>
      </w:r>
    </w:p>
  </w:endnote>
  <w:endnote w:type="continuationSeparator" w:id="0">
    <w:p w14:paraId="1DACA3D9" w14:textId="77777777" w:rsidR="00C64909" w:rsidRDefault="00C64909" w:rsidP="00C6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493E" w14:textId="77777777" w:rsidR="00C64909" w:rsidRDefault="00C6490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449956"/>
      <w:docPartObj>
        <w:docPartGallery w:val="Page Numbers (Bottom of Page)"/>
        <w:docPartUnique/>
      </w:docPartObj>
    </w:sdtPr>
    <w:sdtEndPr/>
    <w:sdtContent>
      <w:p w14:paraId="0986C953" w14:textId="149124AB" w:rsidR="00C64909" w:rsidRDefault="00C64909">
        <w:pPr>
          <w:pStyle w:val="Jalus"/>
          <w:jc w:val="center"/>
        </w:pPr>
        <w:r>
          <w:fldChar w:fldCharType="begin"/>
        </w:r>
        <w:r>
          <w:instrText>PAGE   \* MERGEFORMAT</w:instrText>
        </w:r>
        <w:r>
          <w:fldChar w:fldCharType="separate"/>
        </w:r>
        <w:r>
          <w:t>2</w:t>
        </w:r>
        <w:r>
          <w:fldChar w:fldCharType="end"/>
        </w:r>
      </w:p>
    </w:sdtContent>
  </w:sdt>
  <w:p w14:paraId="4966D2BA" w14:textId="77777777" w:rsidR="00C64909" w:rsidRDefault="00C64909">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3ED9" w14:textId="77777777" w:rsidR="00C64909" w:rsidRDefault="00C6490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9FBE" w14:textId="77777777" w:rsidR="00C64909" w:rsidRDefault="00C64909" w:rsidP="00C64909">
      <w:pPr>
        <w:spacing w:after="0" w:line="240" w:lineRule="auto"/>
      </w:pPr>
      <w:r>
        <w:separator/>
      </w:r>
    </w:p>
  </w:footnote>
  <w:footnote w:type="continuationSeparator" w:id="0">
    <w:p w14:paraId="2EE04D99" w14:textId="77777777" w:rsidR="00C64909" w:rsidRDefault="00C64909" w:rsidP="00C64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E7C6" w14:textId="77777777" w:rsidR="00C64909" w:rsidRDefault="00C6490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380E" w14:textId="77777777" w:rsidR="00C64909" w:rsidRDefault="00C6490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9FB3" w14:textId="77777777" w:rsidR="00C64909" w:rsidRDefault="00C6490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2C18"/>
    <w:multiLevelType w:val="hybridMultilevel"/>
    <w:tmpl w:val="E8EA07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9E85792"/>
    <w:multiLevelType w:val="hybridMultilevel"/>
    <w:tmpl w:val="A044C4D4"/>
    <w:lvl w:ilvl="0" w:tplc="EAEE5B8C">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09292119">
    <w:abstractNumId w:val="0"/>
  </w:num>
  <w:num w:numId="2" w16cid:durableId="2039550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BA"/>
    <w:rsid w:val="00006CBA"/>
    <w:rsid w:val="000706DE"/>
    <w:rsid w:val="000D6F0E"/>
    <w:rsid w:val="000E7130"/>
    <w:rsid w:val="001026B4"/>
    <w:rsid w:val="00111971"/>
    <w:rsid w:val="00127416"/>
    <w:rsid w:val="001827E3"/>
    <w:rsid w:val="001B3345"/>
    <w:rsid w:val="002B4FE2"/>
    <w:rsid w:val="002F1C1A"/>
    <w:rsid w:val="002F5C11"/>
    <w:rsid w:val="00337A1B"/>
    <w:rsid w:val="00345783"/>
    <w:rsid w:val="003665F3"/>
    <w:rsid w:val="00445E0E"/>
    <w:rsid w:val="00457712"/>
    <w:rsid w:val="004635EB"/>
    <w:rsid w:val="00500E26"/>
    <w:rsid w:val="00561BBC"/>
    <w:rsid w:val="0057015D"/>
    <w:rsid w:val="00577604"/>
    <w:rsid w:val="0059312F"/>
    <w:rsid w:val="005D59BA"/>
    <w:rsid w:val="00665E7C"/>
    <w:rsid w:val="0069462E"/>
    <w:rsid w:val="006A44A7"/>
    <w:rsid w:val="006D283E"/>
    <w:rsid w:val="0071180E"/>
    <w:rsid w:val="0073482B"/>
    <w:rsid w:val="00763C78"/>
    <w:rsid w:val="007C6A73"/>
    <w:rsid w:val="007E1D68"/>
    <w:rsid w:val="007E1DFF"/>
    <w:rsid w:val="008747BF"/>
    <w:rsid w:val="00954476"/>
    <w:rsid w:val="00987780"/>
    <w:rsid w:val="00990C18"/>
    <w:rsid w:val="009C6F4E"/>
    <w:rsid w:val="00A474BB"/>
    <w:rsid w:val="00A47812"/>
    <w:rsid w:val="00A513F9"/>
    <w:rsid w:val="00B31357"/>
    <w:rsid w:val="00B51980"/>
    <w:rsid w:val="00B802A1"/>
    <w:rsid w:val="00BF5C8B"/>
    <w:rsid w:val="00C13092"/>
    <w:rsid w:val="00C15C68"/>
    <w:rsid w:val="00C64909"/>
    <w:rsid w:val="00C84A0A"/>
    <w:rsid w:val="00CB7DFC"/>
    <w:rsid w:val="00D01467"/>
    <w:rsid w:val="00D06066"/>
    <w:rsid w:val="00D403D4"/>
    <w:rsid w:val="00D932DA"/>
    <w:rsid w:val="00D94FD9"/>
    <w:rsid w:val="00E00ED4"/>
    <w:rsid w:val="00E427C6"/>
    <w:rsid w:val="00E66999"/>
    <w:rsid w:val="00E707B3"/>
    <w:rsid w:val="00E96663"/>
    <w:rsid w:val="00EA1E22"/>
    <w:rsid w:val="00ED7FE2"/>
    <w:rsid w:val="00EE5973"/>
    <w:rsid w:val="00EF1FEA"/>
    <w:rsid w:val="00F14FF0"/>
    <w:rsid w:val="00FE37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88B4"/>
  <w15:chartTrackingRefBased/>
  <w15:docId w15:val="{50ED5AD3-FE63-419C-8274-60AF8220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665F3"/>
    <w:pPr>
      <w:ind w:left="720"/>
      <w:contextualSpacing/>
    </w:pPr>
  </w:style>
  <w:style w:type="paragraph" w:customStyle="1" w:styleId="xmsonormal">
    <w:name w:val="x_msonormal"/>
    <w:basedOn w:val="Normaallaad"/>
    <w:rsid w:val="003665F3"/>
    <w:pPr>
      <w:spacing w:after="0" w:line="240" w:lineRule="auto"/>
    </w:pPr>
    <w:rPr>
      <w:rFonts w:ascii="Calibri" w:hAnsi="Calibri" w:cs="Calibri"/>
      <w:kern w:val="0"/>
      <w:lang w:eastAsia="et-EE"/>
      <w14:ligatures w14:val="none"/>
    </w:rPr>
  </w:style>
  <w:style w:type="paragraph" w:styleId="Pis">
    <w:name w:val="header"/>
    <w:basedOn w:val="Normaallaad"/>
    <w:link w:val="PisMrk"/>
    <w:uiPriority w:val="99"/>
    <w:unhideWhenUsed/>
    <w:rsid w:val="00C64909"/>
    <w:pPr>
      <w:tabs>
        <w:tab w:val="center" w:pos="4536"/>
        <w:tab w:val="right" w:pos="9072"/>
      </w:tabs>
      <w:spacing w:after="0" w:line="240" w:lineRule="auto"/>
    </w:pPr>
  </w:style>
  <w:style w:type="character" w:customStyle="1" w:styleId="PisMrk">
    <w:name w:val="Päis Märk"/>
    <w:basedOn w:val="Liguvaikefont"/>
    <w:link w:val="Pis"/>
    <w:uiPriority w:val="99"/>
    <w:rsid w:val="00C64909"/>
  </w:style>
  <w:style w:type="paragraph" w:styleId="Jalus">
    <w:name w:val="footer"/>
    <w:basedOn w:val="Normaallaad"/>
    <w:link w:val="JalusMrk"/>
    <w:uiPriority w:val="99"/>
    <w:unhideWhenUsed/>
    <w:rsid w:val="00C64909"/>
    <w:pPr>
      <w:tabs>
        <w:tab w:val="center" w:pos="4536"/>
        <w:tab w:val="right" w:pos="9072"/>
      </w:tabs>
      <w:spacing w:after="0" w:line="240" w:lineRule="auto"/>
    </w:pPr>
  </w:style>
  <w:style w:type="character" w:customStyle="1" w:styleId="JalusMrk">
    <w:name w:val="Jalus Märk"/>
    <w:basedOn w:val="Liguvaikefont"/>
    <w:link w:val="Jalus"/>
    <w:uiPriority w:val="99"/>
    <w:rsid w:val="00C64909"/>
  </w:style>
  <w:style w:type="paragraph" w:styleId="Vahedeta">
    <w:name w:val="No Spacing"/>
    <w:uiPriority w:val="1"/>
    <w:qFormat/>
    <w:rsid w:val="006946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8833">
      <w:bodyDiv w:val="1"/>
      <w:marLeft w:val="0"/>
      <w:marRight w:val="0"/>
      <w:marTop w:val="0"/>
      <w:marBottom w:val="0"/>
      <w:divBdr>
        <w:top w:val="none" w:sz="0" w:space="0" w:color="auto"/>
        <w:left w:val="none" w:sz="0" w:space="0" w:color="auto"/>
        <w:bottom w:val="none" w:sz="0" w:space="0" w:color="auto"/>
        <w:right w:val="none" w:sz="0" w:space="0" w:color="auto"/>
      </w:divBdr>
    </w:div>
    <w:div w:id="368726349">
      <w:bodyDiv w:val="1"/>
      <w:marLeft w:val="0"/>
      <w:marRight w:val="0"/>
      <w:marTop w:val="0"/>
      <w:marBottom w:val="0"/>
      <w:divBdr>
        <w:top w:val="none" w:sz="0" w:space="0" w:color="auto"/>
        <w:left w:val="none" w:sz="0" w:space="0" w:color="auto"/>
        <w:bottom w:val="none" w:sz="0" w:space="0" w:color="auto"/>
        <w:right w:val="none" w:sz="0" w:space="0" w:color="auto"/>
      </w:divBdr>
    </w:div>
    <w:div w:id="502739556">
      <w:bodyDiv w:val="1"/>
      <w:marLeft w:val="0"/>
      <w:marRight w:val="0"/>
      <w:marTop w:val="0"/>
      <w:marBottom w:val="0"/>
      <w:divBdr>
        <w:top w:val="none" w:sz="0" w:space="0" w:color="auto"/>
        <w:left w:val="none" w:sz="0" w:space="0" w:color="auto"/>
        <w:bottom w:val="none" w:sz="0" w:space="0" w:color="auto"/>
        <w:right w:val="none" w:sz="0" w:space="0" w:color="auto"/>
      </w:divBdr>
    </w:div>
    <w:div w:id="146075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1922</Words>
  <Characters>11151</Characters>
  <Application>Microsoft Office Word</Application>
  <DocSecurity>0</DocSecurity>
  <Lines>92</Lines>
  <Paragraphs>26</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Ailen Saksing</dc:creator>
  <cp:keywords/>
  <dc:description/>
  <cp:lastModifiedBy>Hiie Lindmets</cp:lastModifiedBy>
  <cp:revision>10</cp:revision>
  <dcterms:created xsi:type="dcterms:W3CDTF">2024-03-18T11:59:00Z</dcterms:created>
  <dcterms:modified xsi:type="dcterms:W3CDTF">2024-03-26T16:10:00Z</dcterms:modified>
</cp:coreProperties>
</file>